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74BD5D56"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11e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20</w:t>
      </w:r>
      <w:r w:rsidR="00C4378C">
        <w:rPr>
          <w:b/>
          <w:noProof/>
          <w:sz w:val="28"/>
        </w:rPr>
        <w:t>08900</w:t>
      </w:r>
    </w:p>
    <w:p w14:paraId="142E7EB2" w14:textId="454AC8D9" w:rsidR="00156A1A" w:rsidRDefault="002A7847" w:rsidP="00156A1A">
      <w:pPr>
        <w:pStyle w:val="CRCoverPage"/>
        <w:rPr>
          <w:b/>
          <w:noProof/>
          <w:sz w:val="24"/>
        </w:rPr>
      </w:pPr>
      <w:r>
        <w:rPr>
          <w:b/>
          <w:sz w:val="24"/>
          <w:szCs w:val="24"/>
        </w:rPr>
        <w:t>Online</w:t>
      </w:r>
      <w:r w:rsidR="00B50CBC">
        <w:rPr>
          <w:b/>
          <w:sz w:val="24"/>
          <w:szCs w:val="24"/>
        </w:rPr>
        <w:t xml:space="preserve">, </w:t>
      </w:r>
      <w:r w:rsidR="00853B5C">
        <w:rPr>
          <w:b/>
          <w:sz w:val="24"/>
          <w:szCs w:val="24"/>
        </w:rPr>
        <w:t>2</w:t>
      </w:r>
      <w:r w:rsidR="00853B5C">
        <w:rPr>
          <w:b/>
          <w:sz w:val="24"/>
          <w:szCs w:val="24"/>
          <w:vertAlign w:val="superscript"/>
        </w:rPr>
        <w:t>nd</w:t>
      </w:r>
      <w:r w:rsidR="00B50CBC">
        <w:rPr>
          <w:b/>
          <w:sz w:val="24"/>
          <w:szCs w:val="24"/>
        </w:rPr>
        <w:t xml:space="preserve"> </w:t>
      </w:r>
      <w:r w:rsidR="00853B5C">
        <w:rPr>
          <w:b/>
          <w:sz w:val="24"/>
          <w:szCs w:val="24"/>
        </w:rPr>
        <w:t>Nov</w:t>
      </w:r>
      <w:r w:rsidR="005A4A8D">
        <w:rPr>
          <w:b/>
          <w:sz w:val="24"/>
          <w:szCs w:val="24"/>
        </w:rPr>
        <w:t xml:space="preserve"> </w:t>
      </w:r>
      <w:r w:rsidR="00B50CBC">
        <w:rPr>
          <w:b/>
          <w:sz w:val="24"/>
          <w:szCs w:val="24"/>
        </w:rPr>
        <w:t>–</w:t>
      </w:r>
      <w:r w:rsidR="005A4A8D">
        <w:rPr>
          <w:b/>
          <w:sz w:val="24"/>
          <w:szCs w:val="24"/>
        </w:rPr>
        <w:t xml:space="preserve"> </w:t>
      </w:r>
      <w:r w:rsidR="00853B5C">
        <w:rPr>
          <w:b/>
          <w:sz w:val="24"/>
          <w:szCs w:val="24"/>
        </w:rPr>
        <w:t>13</w:t>
      </w:r>
      <w:r w:rsidR="00B50CBC" w:rsidRPr="00B50CBC">
        <w:rPr>
          <w:b/>
          <w:sz w:val="24"/>
          <w:szCs w:val="24"/>
          <w:vertAlign w:val="superscript"/>
        </w:rPr>
        <w:t>th</w:t>
      </w:r>
      <w:r w:rsidR="00B50CBC">
        <w:rPr>
          <w:b/>
          <w:sz w:val="24"/>
          <w:szCs w:val="24"/>
        </w:rPr>
        <w:t xml:space="preserve"> </w:t>
      </w:r>
      <w:r w:rsidR="00853B5C">
        <w:rPr>
          <w:b/>
          <w:sz w:val="24"/>
          <w:szCs w:val="24"/>
        </w:rPr>
        <w:t>Nov</w:t>
      </w:r>
      <w:r w:rsidR="002C600F" w:rsidRPr="009E4773">
        <w:rPr>
          <w:b/>
          <w:sz w:val="24"/>
          <w:szCs w:val="24"/>
        </w:rPr>
        <w:t xml:space="preserve"> </w:t>
      </w:r>
      <w:r w:rsidR="00F5683C">
        <w:rPr>
          <w:b/>
          <w:sz w:val="24"/>
          <w:szCs w:val="24"/>
        </w:rPr>
        <w:t>20</w:t>
      </w:r>
      <w:r>
        <w:rPr>
          <w:b/>
          <w:sz w:val="24"/>
          <w:szCs w:val="24"/>
        </w:rPr>
        <w:t>20</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58C27FF4" w:rsidR="00156A1A" w:rsidRPr="009A6513" w:rsidRDefault="001B28F8" w:rsidP="0000505D">
      <w:pPr>
        <w:pStyle w:val="CRCoverPage"/>
        <w:ind w:left="1988" w:hanging="1988"/>
        <w:rPr>
          <w:b/>
          <w:noProof/>
          <w:sz w:val="24"/>
        </w:rPr>
      </w:pPr>
      <w:r>
        <w:rPr>
          <w:b/>
          <w:noProof/>
          <w:sz w:val="24"/>
        </w:rPr>
        <w:t>Agenda Item:</w:t>
      </w:r>
      <w:r>
        <w:rPr>
          <w:b/>
          <w:noProof/>
          <w:sz w:val="24"/>
        </w:rPr>
        <w:tab/>
      </w:r>
      <w:r w:rsidR="00853B5C">
        <w:rPr>
          <w:b/>
          <w:noProof/>
          <w:sz w:val="24"/>
        </w:rPr>
        <w:t>9</w:t>
      </w:r>
      <w:r w:rsidR="00D26A64" w:rsidRPr="00D26A64">
        <w:rPr>
          <w:b/>
          <w:noProof/>
          <w:sz w:val="24"/>
        </w:rPr>
        <w:t>.</w:t>
      </w:r>
      <w:r w:rsidR="00853B5C">
        <w:rPr>
          <w:b/>
          <w:noProof/>
          <w:sz w:val="24"/>
        </w:rPr>
        <w:t>2</w:t>
      </w:r>
      <w:r w:rsidR="00D26A64" w:rsidRPr="00D26A64">
        <w:rPr>
          <w:b/>
          <w:noProof/>
          <w:sz w:val="24"/>
        </w:rPr>
        <w:t>.</w:t>
      </w:r>
      <w:r w:rsidR="00C40F7A">
        <w:rPr>
          <w:b/>
          <w:noProof/>
          <w:sz w:val="24"/>
        </w:rPr>
        <w:t>2</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24ECE4E8"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E69B8">
        <w:rPr>
          <w:b/>
          <w:noProof/>
          <w:sz w:val="24"/>
        </w:rPr>
        <w:t xml:space="preserve">On </w:t>
      </w:r>
      <w:r w:rsidR="00853B5C">
        <w:rPr>
          <w:b/>
          <w:noProof/>
          <w:sz w:val="24"/>
        </w:rPr>
        <w:t xml:space="preserve">Disabling HARQ in NB-IoT based </w:t>
      </w:r>
      <w:r w:rsidR="00833CEA">
        <w:rPr>
          <w:b/>
          <w:noProof/>
          <w:sz w:val="24"/>
        </w:rPr>
        <w:t>N</w:t>
      </w:r>
      <w:r w:rsidR="002A7847">
        <w:rPr>
          <w:b/>
          <w:noProof/>
          <w:sz w:val="24"/>
        </w:rPr>
        <w:t>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54DCF211" w:rsidR="002B5508"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delay (RTD)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16 NR-NTN Study Item (SI)</w:t>
      </w:r>
      <w:r w:rsidR="005631AA">
        <w:rPr>
          <w:rFonts w:ascii="Arial" w:eastAsia="MS Mincho" w:hAnsi="Arial" w:cs="Arial"/>
          <w:szCs w:val="24"/>
          <w:lang w:eastAsia="en-GB"/>
        </w:rPr>
        <w:t xml:space="preserve"> [1]</w:t>
      </w:r>
      <w:r w:rsidR="00102E15">
        <w:rPr>
          <w:rFonts w:ascii="Arial" w:eastAsia="MS Mincho" w:hAnsi="Arial" w:cs="Arial"/>
          <w:szCs w:val="24"/>
          <w:lang w:eastAsia="en-GB"/>
        </w:rPr>
        <w:t xml:space="preserve">. </w:t>
      </w:r>
      <w:r w:rsidR="001E13F4">
        <w:rPr>
          <w:rFonts w:ascii="Arial" w:eastAsia="MS Mincho" w:hAnsi="Arial" w:cs="Arial"/>
          <w:szCs w:val="24"/>
          <w:lang w:eastAsia="en-GB"/>
        </w:rPr>
        <w:t xml:space="preserve">Based on this study, RAN2 made the following recommendations for </w:t>
      </w:r>
      <w:r w:rsidR="00FB0130">
        <w:rPr>
          <w:rFonts w:ascii="Arial" w:eastAsia="MS Mincho" w:hAnsi="Arial" w:cs="Arial"/>
          <w:szCs w:val="24"/>
          <w:lang w:eastAsia="en-GB"/>
        </w:rPr>
        <w:t>HARQ</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[1].</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34262E9D" w14:textId="0ADB8DDD" w:rsidR="001E13F4" w:rsidRPr="001E13F4" w:rsidRDefault="001E13F4" w:rsidP="001E13F4">
            <w:pPr>
              <w:tabs>
                <w:tab w:val="left" w:pos="1622"/>
              </w:tabs>
              <w:spacing w:after="0"/>
              <w:jc w:val="both"/>
              <w:rPr>
                <w:rFonts w:ascii="Arial" w:eastAsia="MS Mincho" w:hAnsi="Arial" w:cs="Arial"/>
                <w:szCs w:val="24"/>
                <w:lang w:eastAsia="en-GB"/>
              </w:rPr>
            </w:pPr>
            <w:r w:rsidRPr="00730071">
              <w:rPr>
                <w:rFonts w:ascii="Arial" w:eastAsia="MS Mincho" w:hAnsi="Arial" w:cs="Arial"/>
                <w:szCs w:val="24"/>
                <w:highlight w:val="yellow"/>
                <w:u w:val="single"/>
                <w:lang w:eastAsia="en-GB"/>
              </w:rPr>
              <w:t>HARQ</w:t>
            </w:r>
          </w:p>
          <w:p w14:paraId="37D71527" w14:textId="59DD92D1" w:rsidR="001E13F4" w:rsidRPr="00FB0130" w:rsidRDefault="00BB761B" w:rsidP="00BB761B">
            <w:pPr>
              <w:pStyle w:val="ListParagraph"/>
              <w:numPr>
                <w:ilvl w:val="0"/>
                <w:numId w:val="22"/>
              </w:numPr>
              <w:tabs>
                <w:tab w:val="left" w:pos="1622"/>
              </w:tabs>
              <w:jc w:val="both"/>
              <w:rPr>
                <w:rFonts w:ascii="Arial" w:eastAsia="MS Mincho" w:hAnsi="Arial" w:cs="Arial"/>
                <w:sz w:val="20"/>
                <w:szCs w:val="24"/>
                <w:highlight w:val="yellow"/>
                <w:lang w:eastAsia="en-GB"/>
              </w:rPr>
            </w:pPr>
            <w:r w:rsidRPr="00FB0130">
              <w:rPr>
                <w:rFonts w:ascii="Arial" w:eastAsia="MS Mincho" w:hAnsi="Arial" w:cs="Arial"/>
                <w:sz w:val="20"/>
                <w:szCs w:val="24"/>
                <w:highlight w:val="yellow"/>
                <w:lang w:eastAsia="en-GB"/>
              </w:rPr>
              <w:t>E</w:t>
            </w:r>
            <w:r w:rsidR="001E13F4" w:rsidRPr="00FB0130">
              <w:rPr>
                <w:rFonts w:ascii="Arial" w:eastAsia="MS Mincho" w:hAnsi="Arial" w:cs="Arial"/>
                <w:sz w:val="20"/>
                <w:szCs w:val="24"/>
                <w:highlight w:val="yellow"/>
                <w:lang w:eastAsia="en-GB"/>
              </w:rPr>
              <w:t xml:space="preserve">nabling / disabling of uplink HARQ feedback for downlink transmission at the UE receiver should be configurable per UE and per HARQ process. </w:t>
            </w:r>
          </w:p>
          <w:p w14:paraId="51534405" w14:textId="1EEE3D1D" w:rsidR="001E13F4" w:rsidRPr="00FB0130" w:rsidRDefault="00BB761B" w:rsidP="00BB761B">
            <w:pPr>
              <w:pStyle w:val="ListParagraph"/>
              <w:numPr>
                <w:ilvl w:val="0"/>
                <w:numId w:val="22"/>
              </w:numPr>
              <w:tabs>
                <w:tab w:val="left" w:pos="1622"/>
              </w:tabs>
              <w:jc w:val="both"/>
              <w:rPr>
                <w:rFonts w:ascii="Arial" w:eastAsia="MS Mincho" w:hAnsi="Arial" w:cs="Arial"/>
                <w:sz w:val="20"/>
                <w:szCs w:val="24"/>
                <w:highlight w:val="yellow"/>
                <w:lang w:eastAsia="en-GB"/>
              </w:rPr>
            </w:pPr>
            <w:r w:rsidRPr="00FB0130">
              <w:rPr>
                <w:rFonts w:ascii="Arial" w:eastAsia="MS Mincho" w:hAnsi="Arial" w:cs="Arial"/>
                <w:sz w:val="20"/>
                <w:szCs w:val="24"/>
                <w:highlight w:val="yellow"/>
                <w:lang w:eastAsia="en-GB"/>
              </w:rPr>
              <w:t>E</w:t>
            </w:r>
            <w:r w:rsidR="001E13F4" w:rsidRPr="00FB0130">
              <w:rPr>
                <w:rFonts w:ascii="Arial" w:eastAsia="MS Mincho" w:hAnsi="Arial" w:cs="Arial"/>
                <w:sz w:val="20"/>
                <w:szCs w:val="24"/>
                <w:highlight w:val="yellow"/>
                <w:lang w:eastAsia="en-GB"/>
              </w:rPr>
              <w:t>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B24A065" w14:textId="580657A2" w:rsidR="001E13F4" w:rsidRPr="00BB761B" w:rsidRDefault="001E13F4" w:rsidP="00BB761B">
            <w:pPr>
              <w:pStyle w:val="ListParagraph"/>
              <w:numPr>
                <w:ilvl w:val="0"/>
                <w:numId w:val="22"/>
              </w:numPr>
              <w:tabs>
                <w:tab w:val="left" w:pos="1622"/>
              </w:tabs>
              <w:jc w:val="both"/>
              <w:rPr>
                <w:rFonts w:ascii="Arial" w:eastAsia="MS Mincho" w:hAnsi="Arial" w:cs="Arial"/>
                <w:szCs w:val="24"/>
                <w:lang w:eastAsia="en-GB"/>
              </w:rPr>
            </w:pPr>
            <w:r w:rsidRPr="00BB761B">
              <w:rPr>
                <w:rFonts w:ascii="Arial" w:eastAsia="MS Mincho" w:hAnsi="Arial" w:cs="Arial"/>
                <w:sz w:val="20"/>
                <w:szCs w:val="24"/>
                <w:lang w:eastAsia="en-GB"/>
              </w:rPr>
              <w:t>Multiple transmission of the same TB to lower residual BLER should also be configured.</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0366491B" w14:textId="43812B66" w:rsidR="00972E3C" w:rsidRPr="00E120A3" w:rsidRDefault="00A7446C" w:rsidP="00A7446C">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in Rel. 17 NR-NTN Work Item (WI) [2] 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w:t>
      </w:r>
      <w:r>
        <w:rPr>
          <w:rFonts w:ascii="Arial" w:eastAsia="MS Mincho" w:hAnsi="Arial" w:cs="Arial"/>
          <w:szCs w:val="24"/>
          <w:lang w:eastAsia="en-GB"/>
        </w:rPr>
        <w:t xml:space="preserve">. Keeping this in mind, in this contribution we identify the </w:t>
      </w:r>
      <w:r w:rsidRPr="00D73C31">
        <w:rPr>
          <w:rFonts w:ascii="Arial" w:eastAsia="MS Mincho" w:hAnsi="Arial" w:cs="Arial"/>
          <w:szCs w:val="24"/>
          <w:lang w:eastAsia="en-GB"/>
        </w:rPr>
        <w:t xml:space="preserve">parts of TR38.821 </w:t>
      </w:r>
      <w:r>
        <w:rPr>
          <w:rFonts w:ascii="Arial" w:eastAsia="MS Mincho" w:hAnsi="Arial" w:cs="Arial"/>
          <w:szCs w:val="24"/>
          <w:lang w:eastAsia="en-GB"/>
        </w:rPr>
        <w:t>that relevant for HARQ configurations in</w:t>
      </w:r>
      <w:r w:rsidRPr="00D73C31">
        <w:rPr>
          <w:rFonts w:ascii="Arial" w:eastAsia="MS Mincho" w:hAnsi="Arial" w:cs="Arial"/>
          <w:szCs w:val="24"/>
          <w:lang w:eastAsia="en-GB"/>
        </w:rPr>
        <w:t xml:space="preserve"> </w:t>
      </w:r>
      <w:r>
        <w:rPr>
          <w:rFonts w:ascii="Arial" w:eastAsia="MS Mincho" w:hAnsi="Arial" w:cs="Arial"/>
          <w:szCs w:val="24"/>
          <w:lang w:eastAsia="en-GB"/>
        </w:rPr>
        <w:t xml:space="preserve">NB-IoT based </w:t>
      </w:r>
      <w:r w:rsidRPr="00D73C31">
        <w:rPr>
          <w:rFonts w:ascii="Arial" w:eastAsia="MS Mincho" w:hAnsi="Arial" w:cs="Arial"/>
          <w:szCs w:val="24"/>
          <w:lang w:eastAsia="en-GB"/>
        </w:rPr>
        <w:t>NTN</w:t>
      </w:r>
      <w:r>
        <w:rPr>
          <w:rFonts w:ascii="Arial" w:eastAsia="MS Mincho" w:hAnsi="Arial" w:cs="Arial"/>
          <w:szCs w:val="24"/>
          <w:lang w:eastAsia="en-GB"/>
        </w:rPr>
        <w:t xml:space="preserve">. </w:t>
      </w:r>
    </w:p>
    <w:p w14:paraId="7E0CCCD6" w14:textId="77777777" w:rsidR="002E6F37" w:rsidRPr="00A02DAF" w:rsidRDefault="002E6F37" w:rsidP="00E2227D">
      <w:pPr>
        <w:jc w:val="both"/>
        <w:rPr>
          <w:rFonts w:ascii="Arial" w:hAnsi="Arial" w:cs="Arial"/>
          <w:bCs/>
          <w:sz w:val="6"/>
        </w:rPr>
      </w:pPr>
    </w:p>
    <w:p w14:paraId="24808515" w14:textId="2E7B6BFE" w:rsidR="00E120A3" w:rsidRPr="008321E7" w:rsidRDefault="00E120A3" w:rsidP="00E120A3">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6B65A9E6" w14:textId="79A12715" w:rsidR="00106E08" w:rsidRDefault="0038763B" w:rsidP="00106E08">
      <w:pPr>
        <w:jc w:val="both"/>
        <w:rPr>
          <w:rFonts w:ascii="Arial" w:hAnsi="Arial" w:cs="Arial"/>
        </w:rPr>
      </w:pPr>
      <w:r>
        <w:rPr>
          <w:rFonts w:ascii="Arial" w:hAnsi="Arial" w:cs="Arial"/>
        </w:rPr>
        <w:t xml:space="preserve">Based on the reference scenarios and major parameters for NR-NTN, mentioned in 3GPP 38.821 [1], we can conclude that the maximum total RTD for GEO NTN is almost 541.46ms. Similarly, the maximum RTD for LEO NTNs 12,200kms altitude are 25.77ms and 41.77ms at 600kms and 1,200kms altitudes respectively. </w:t>
      </w:r>
      <w:r w:rsidR="006426EB">
        <w:rPr>
          <w:rFonts w:ascii="Arial" w:hAnsi="Arial" w:cs="Arial"/>
        </w:rPr>
        <w:t>Such high latency imposes limitations in achievable data rates and HARQ buffer sizes in the UE. One option to get around this problem is to disable HARQ. However, disabling HARQ can have adverse impacts on important signalling messages, like msg. 3</w:t>
      </w:r>
      <w:r w:rsidR="001E1A51">
        <w:rPr>
          <w:rFonts w:ascii="Arial" w:hAnsi="Arial" w:cs="Arial"/>
        </w:rPr>
        <w:t xml:space="preserve">, </w:t>
      </w:r>
      <w:r w:rsidR="006426EB">
        <w:rPr>
          <w:rFonts w:ascii="Arial" w:hAnsi="Arial" w:cs="Arial"/>
        </w:rPr>
        <w:t>other RRC messages carried over SRBs</w:t>
      </w:r>
      <w:r w:rsidR="000C15B2">
        <w:rPr>
          <w:rFonts w:ascii="Arial" w:hAnsi="Arial" w:cs="Arial"/>
        </w:rPr>
        <w:t xml:space="preserve"> and MAC CEs</w:t>
      </w:r>
      <w:r w:rsidR="006426EB">
        <w:rPr>
          <w:rFonts w:ascii="Arial" w:hAnsi="Arial" w:cs="Arial"/>
        </w:rPr>
        <w:t xml:space="preserve">. Hence it is agreed during the Rel. 16 NR-NTN SI phase that HARQ could be enabled and disabled per UE or per HARQ process basis semi-statically by using RRC messages. Current WI agreements and discussions on NR-NTN HARQ aspects [3, 4] are based on these principles. </w:t>
      </w:r>
    </w:p>
    <w:p w14:paraId="183E93B6" w14:textId="6A24C888" w:rsidR="00106E08" w:rsidRPr="00244ADE" w:rsidRDefault="00106E08" w:rsidP="00106E08">
      <w:pPr>
        <w:jc w:val="both"/>
        <w:rPr>
          <w:rFonts w:ascii="Arial" w:hAnsi="Arial" w:cs="Arial"/>
        </w:rPr>
      </w:pPr>
      <w:r w:rsidRPr="00244ADE">
        <w:rPr>
          <w:rFonts w:ascii="Arial" w:hAnsi="Arial" w:cs="Arial"/>
        </w:rPr>
        <w:t>However, unlike NR, NB-</w:t>
      </w:r>
      <w:r w:rsidR="008F13AF" w:rsidRPr="00244ADE">
        <w:rPr>
          <w:rFonts w:ascii="Arial" w:hAnsi="Arial" w:cs="Arial"/>
          <w:bCs/>
        </w:rPr>
        <w:t>IoT applications are not delay-sensitive</w:t>
      </w:r>
      <w:r w:rsidR="001E1A51" w:rsidRPr="00244ADE">
        <w:rPr>
          <w:rFonts w:ascii="Arial" w:hAnsi="Arial" w:cs="Arial"/>
          <w:bCs/>
        </w:rPr>
        <w:t xml:space="preserve"> and </w:t>
      </w:r>
      <w:r w:rsidR="001E1A51" w:rsidRPr="00244ADE">
        <w:rPr>
          <w:rFonts w:ascii="Arial" w:hAnsi="Arial" w:cs="Arial"/>
        </w:rPr>
        <w:t>sustained high throughput is generally not required for NB-IoT. Instead most of the transmissions are one-shot with pretty low throughput requirements</w:t>
      </w:r>
      <w:r w:rsidRPr="00244ADE">
        <w:rPr>
          <w:rFonts w:ascii="Arial" w:hAnsi="Arial" w:cs="Arial"/>
          <w:bCs/>
        </w:rPr>
        <w:t>.</w:t>
      </w:r>
      <w:r w:rsidR="008F13AF" w:rsidRPr="00244ADE">
        <w:rPr>
          <w:rFonts w:ascii="Arial" w:hAnsi="Arial" w:cs="Arial"/>
          <w:bCs/>
        </w:rPr>
        <w:t xml:space="preserve"> </w:t>
      </w:r>
      <w:r w:rsidRPr="00244ADE">
        <w:rPr>
          <w:rFonts w:ascii="Arial" w:hAnsi="Arial" w:cs="Arial"/>
          <w:bCs/>
        </w:rPr>
        <w:t xml:space="preserve">The delay requirement is typically as high as </w:t>
      </w:r>
      <w:r w:rsidR="008F13AF" w:rsidRPr="00244ADE">
        <w:rPr>
          <w:rFonts w:ascii="Arial" w:hAnsi="Arial" w:cs="Arial"/>
          <w:bCs/>
        </w:rPr>
        <w:t>10 seconds delay</w:t>
      </w:r>
      <w:r w:rsidR="001E1A51" w:rsidRPr="00244ADE">
        <w:rPr>
          <w:rFonts w:ascii="Arial" w:hAnsi="Arial" w:cs="Arial"/>
          <w:bCs/>
        </w:rPr>
        <w:t xml:space="preserve"> []</w:t>
      </w:r>
      <w:r w:rsidR="008F13AF" w:rsidRPr="00244ADE">
        <w:rPr>
          <w:rFonts w:ascii="Arial" w:hAnsi="Arial" w:cs="Arial"/>
          <w:bCs/>
        </w:rPr>
        <w:t xml:space="preserve"> for the uplink</w:t>
      </w:r>
      <w:r w:rsidRPr="00244ADE">
        <w:rPr>
          <w:rFonts w:ascii="Arial" w:hAnsi="Arial" w:cs="Arial"/>
          <w:bCs/>
        </w:rPr>
        <w:t>,</w:t>
      </w:r>
      <w:r w:rsidR="008F13AF" w:rsidRPr="00244ADE">
        <w:rPr>
          <w:rFonts w:ascii="Arial" w:hAnsi="Arial" w:cs="Arial"/>
          <w:bCs/>
        </w:rPr>
        <w:t xml:space="preserve"> when measured from the application ‘trigger event’ to the packet being ready for transmission from the base station towards the core network</w:t>
      </w:r>
      <w:r w:rsidRPr="00244ADE">
        <w:rPr>
          <w:rFonts w:ascii="Arial" w:hAnsi="Arial" w:cs="Arial"/>
          <w:bCs/>
        </w:rPr>
        <w:t xml:space="preserve">. </w:t>
      </w:r>
      <w:r w:rsidR="00034520" w:rsidRPr="00244ADE">
        <w:rPr>
          <w:rFonts w:ascii="Arial" w:hAnsi="Arial" w:cs="Arial"/>
          <w:bCs/>
        </w:rPr>
        <w:t>Moreover, the typical packet size and reporting intervals discussed for NB-IoT are 50 bytes, 2 hours; 200bytes, 2 hours; 50 bytes, 24 hours and 200 bytes, 24 hours. In the worst case scenario, transmitting 200bytes of data over a 10s delay budget requires a data rate of 160bps. Such a low data rate requirement can be easily achieved with HARQ enabled even after taking NTN RTD into account</w:t>
      </w:r>
      <w:r w:rsidR="00244ADE" w:rsidRPr="00244ADE">
        <w:rPr>
          <w:rFonts w:ascii="Arial" w:hAnsi="Arial" w:cs="Arial"/>
          <w:bCs/>
        </w:rPr>
        <w:t>.</w:t>
      </w:r>
    </w:p>
    <w:p w14:paraId="6073E5FD" w14:textId="0A2B7BBF" w:rsidR="00175EEF" w:rsidRDefault="00175EEF" w:rsidP="00175EEF">
      <w:pPr>
        <w:jc w:val="both"/>
        <w:rPr>
          <w:rFonts w:ascii="Arial" w:hAnsi="Arial" w:cs="Arial"/>
          <w:bCs/>
        </w:rPr>
      </w:pPr>
      <w:r w:rsidRPr="003D545A">
        <w:rPr>
          <w:rFonts w:ascii="Arial" w:hAnsi="Arial" w:cs="Arial"/>
          <w:b/>
          <w:bCs/>
        </w:rPr>
        <w:t>Observation 1</w:t>
      </w:r>
      <w:r>
        <w:rPr>
          <w:rFonts w:ascii="Arial" w:hAnsi="Arial" w:cs="Arial"/>
          <w:bCs/>
        </w:rPr>
        <w:t xml:space="preserve">: </w:t>
      </w:r>
      <w:r w:rsidRPr="00175EEF">
        <w:rPr>
          <w:rFonts w:ascii="Arial" w:hAnsi="Arial" w:cs="Arial"/>
          <w:b/>
        </w:rPr>
        <w:t>NB-</w:t>
      </w:r>
      <w:r w:rsidRPr="00175EEF">
        <w:rPr>
          <w:rFonts w:ascii="Arial" w:hAnsi="Arial" w:cs="Arial"/>
          <w:b/>
          <w:bCs/>
        </w:rPr>
        <w:t xml:space="preserve">IoT applications are not delay-sensitive, having </w:t>
      </w:r>
      <w:r w:rsidR="001E1A51">
        <w:rPr>
          <w:rFonts w:ascii="Arial" w:hAnsi="Arial" w:cs="Arial"/>
          <w:b/>
          <w:bCs/>
        </w:rPr>
        <w:t>up to</w:t>
      </w:r>
      <w:r w:rsidRPr="00175EEF">
        <w:rPr>
          <w:rFonts w:ascii="Arial" w:hAnsi="Arial" w:cs="Arial"/>
          <w:b/>
          <w:bCs/>
        </w:rPr>
        <w:t xml:space="preserve"> 10 seconds UL delay </w:t>
      </w:r>
      <w:r w:rsidR="00161502">
        <w:rPr>
          <w:rFonts w:ascii="Arial" w:hAnsi="Arial" w:cs="Arial"/>
          <w:b/>
          <w:bCs/>
        </w:rPr>
        <w:t xml:space="preserve">and only 160 bps data rate </w:t>
      </w:r>
      <w:r w:rsidRPr="00175EEF">
        <w:rPr>
          <w:rFonts w:ascii="Arial" w:hAnsi="Arial" w:cs="Arial"/>
          <w:b/>
          <w:bCs/>
        </w:rPr>
        <w:t>requirement.</w:t>
      </w:r>
      <w:r>
        <w:rPr>
          <w:rFonts w:ascii="Arial" w:hAnsi="Arial" w:cs="Arial"/>
          <w:bCs/>
        </w:rPr>
        <w:t xml:space="preserve"> </w:t>
      </w:r>
    </w:p>
    <w:p w14:paraId="20309736" w14:textId="06055C7C" w:rsidR="00B37628" w:rsidRDefault="00175EEF" w:rsidP="00106E08">
      <w:pPr>
        <w:jc w:val="both"/>
        <w:rPr>
          <w:rFonts w:ascii="Arial" w:hAnsi="Arial" w:cs="Arial"/>
          <w:bCs/>
        </w:rPr>
      </w:pPr>
      <w:r>
        <w:rPr>
          <w:rFonts w:ascii="Arial" w:hAnsi="Arial" w:cs="Arial"/>
          <w:bCs/>
        </w:rPr>
        <w:t>For Control plane signalling messages, involving SRBs</w:t>
      </w:r>
      <w:r w:rsidR="00B25762">
        <w:rPr>
          <w:rFonts w:ascii="Arial" w:hAnsi="Arial" w:cs="Arial"/>
          <w:bCs/>
        </w:rPr>
        <w:t xml:space="preserve"> and MAC CEs</w:t>
      </w:r>
      <w:r>
        <w:rPr>
          <w:rFonts w:ascii="Arial" w:hAnsi="Arial" w:cs="Arial"/>
          <w:bCs/>
        </w:rPr>
        <w:t xml:space="preserve">, </w:t>
      </w:r>
      <w:r w:rsidR="00FD4E27">
        <w:rPr>
          <w:rFonts w:ascii="Arial" w:hAnsi="Arial" w:cs="Arial"/>
          <w:bCs/>
        </w:rPr>
        <w:t>HARQ</w:t>
      </w:r>
      <w:r w:rsidR="008F13AF" w:rsidRPr="00106E08">
        <w:rPr>
          <w:rFonts w:ascii="Arial" w:hAnsi="Arial" w:cs="Arial"/>
          <w:bCs/>
        </w:rPr>
        <w:t xml:space="preserve"> is </w:t>
      </w:r>
      <w:r w:rsidR="00BD361B">
        <w:rPr>
          <w:rFonts w:ascii="Arial" w:hAnsi="Arial" w:cs="Arial"/>
          <w:bCs/>
        </w:rPr>
        <w:t xml:space="preserve">very </w:t>
      </w:r>
      <w:r w:rsidR="008F13AF" w:rsidRPr="00106E08">
        <w:rPr>
          <w:rFonts w:ascii="Arial" w:hAnsi="Arial" w:cs="Arial"/>
          <w:bCs/>
        </w:rPr>
        <w:t>important</w:t>
      </w:r>
      <w:r w:rsidR="00BD361B">
        <w:rPr>
          <w:rFonts w:ascii="Arial" w:hAnsi="Arial" w:cs="Arial"/>
          <w:bCs/>
        </w:rPr>
        <w:t xml:space="preserve"> as</w:t>
      </w:r>
      <w:r w:rsidR="008F13AF" w:rsidRPr="00106E08">
        <w:rPr>
          <w:rFonts w:ascii="Arial" w:hAnsi="Arial" w:cs="Arial"/>
          <w:bCs/>
        </w:rPr>
        <w:t xml:space="preserve"> </w:t>
      </w:r>
      <w:r w:rsidR="00BD361B">
        <w:rPr>
          <w:rFonts w:ascii="Arial" w:hAnsi="Arial" w:cs="Arial"/>
          <w:bCs/>
        </w:rPr>
        <w:t>o</w:t>
      </w:r>
      <w:r w:rsidR="008F13AF" w:rsidRPr="00106E08">
        <w:rPr>
          <w:rFonts w:ascii="Arial" w:hAnsi="Arial" w:cs="Arial"/>
          <w:bCs/>
        </w:rPr>
        <w:t>ther recovery mechanisms</w:t>
      </w:r>
      <w:r w:rsidR="00BD361B">
        <w:rPr>
          <w:rFonts w:ascii="Arial" w:hAnsi="Arial" w:cs="Arial"/>
          <w:bCs/>
        </w:rPr>
        <w:t>,</w:t>
      </w:r>
      <w:r w:rsidR="008F13AF" w:rsidRPr="00106E08">
        <w:rPr>
          <w:rFonts w:ascii="Arial" w:hAnsi="Arial" w:cs="Arial"/>
          <w:bCs/>
        </w:rPr>
        <w:t xml:space="preserve"> </w:t>
      </w:r>
      <w:r w:rsidR="00BD361B">
        <w:rPr>
          <w:rFonts w:ascii="Arial" w:hAnsi="Arial" w:cs="Arial"/>
          <w:bCs/>
        </w:rPr>
        <w:t>like</w:t>
      </w:r>
      <w:r w:rsidR="008F13AF" w:rsidRPr="00106E08">
        <w:rPr>
          <w:rFonts w:ascii="Arial" w:hAnsi="Arial" w:cs="Arial"/>
          <w:bCs/>
        </w:rPr>
        <w:t xml:space="preserve"> RLC retransmissions in AM</w:t>
      </w:r>
      <w:r w:rsidR="00BD361B">
        <w:rPr>
          <w:rFonts w:ascii="Arial" w:hAnsi="Arial" w:cs="Arial"/>
          <w:bCs/>
        </w:rPr>
        <w:t>,</w:t>
      </w:r>
      <w:r w:rsidR="008F13AF" w:rsidRPr="00106E08">
        <w:rPr>
          <w:rFonts w:ascii="Arial" w:hAnsi="Arial" w:cs="Arial"/>
          <w:bCs/>
        </w:rPr>
        <w:t xml:space="preserve"> may not be possible</w:t>
      </w:r>
      <w:r>
        <w:rPr>
          <w:rFonts w:ascii="Arial" w:hAnsi="Arial" w:cs="Arial"/>
          <w:bCs/>
        </w:rPr>
        <w:t xml:space="preserve"> for </w:t>
      </w:r>
      <w:r w:rsidR="00BD361B">
        <w:rPr>
          <w:rFonts w:ascii="Arial" w:hAnsi="Arial" w:cs="Arial"/>
          <w:bCs/>
        </w:rPr>
        <w:t xml:space="preserve">some </w:t>
      </w:r>
      <w:r>
        <w:rPr>
          <w:rFonts w:ascii="Arial" w:hAnsi="Arial" w:cs="Arial"/>
          <w:bCs/>
        </w:rPr>
        <w:t>signalling</w:t>
      </w:r>
      <w:r w:rsidR="00BD361B">
        <w:rPr>
          <w:rFonts w:ascii="Arial" w:hAnsi="Arial" w:cs="Arial"/>
          <w:bCs/>
        </w:rPr>
        <w:t xml:space="preserve"> </w:t>
      </w:r>
      <w:r w:rsidR="00BD361B">
        <w:rPr>
          <w:rFonts w:ascii="Arial" w:hAnsi="Arial" w:cs="Arial"/>
          <w:bCs/>
        </w:rPr>
        <w:lastRenderedPageBreak/>
        <w:t>messages</w:t>
      </w:r>
      <w:r>
        <w:rPr>
          <w:rFonts w:ascii="Arial" w:hAnsi="Arial" w:cs="Arial"/>
          <w:bCs/>
        </w:rPr>
        <w:t xml:space="preserve">, like msg.3. </w:t>
      </w:r>
      <w:r w:rsidR="008F13AF" w:rsidRPr="00106E08">
        <w:rPr>
          <w:rFonts w:ascii="Arial" w:hAnsi="Arial" w:cs="Arial"/>
          <w:bCs/>
        </w:rPr>
        <w:t>HARQ soft combining provides link budget gain on DL and UL with beneficial impact on re</w:t>
      </w:r>
      <w:r>
        <w:rPr>
          <w:rFonts w:ascii="Arial" w:hAnsi="Arial" w:cs="Arial"/>
          <w:bCs/>
        </w:rPr>
        <w:t>source utilisation</w:t>
      </w:r>
      <w:r w:rsidR="008F13AF" w:rsidRPr="00106E08">
        <w:rPr>
          <w:rFonts w:ascii="Arial" w:hAnsi="Arial" w:cs="Arial"/>
          <w:bCs/>
        </w:rPr>
        <w:t xml:space="preserve">. </w:t>
      </w:r>
      <w:r>
        <w:rPr>
          <w:rFonts w:ascii="Arial" w:hAnsi="Arial" w:cs="Arial"/>
          <w:bCs/>
        </w:rPr>
        <w:t xml:space="preserve">Furthermore, </w:t>
      </w:r>
      <w:r w:rsidR="008F13AF" w:rsidRPr="00106E08">
        <w:rPr>
          <w:rFonts w:ascii="Arial" w:hAnsi="Arial" w:cs="Arial"/>
          <w:bCs/>
        </w:rPr>
        <w:t xml:space="preserve">HARQ </w:t>
      </w:r>
      <w:r w:rsidR="00106E08">
        <w:rPr>
          <w:rFonts w:ascii="Arial" w:hAnsi="Arial" w:cs="Arial"/>
          <w:bCs/>
        </w:rPr>
        <w:t xml:space="preserve">also </w:t>
      </w:r>
      <w:r w:rsidR="008F13AF" w:rsidRPr="00106E08">
        <w:rPr>
          <w:rFonts w:ascii="Arial" w:hAnsi="Arial" w:cs="Arial"/>
          <w:bCs/>
        </w:rPr>
        <w:t>increases robustness to interference or fast fading on DL and UL,</w:t>
      </w:r>
      <w:r w:rsidR="00BD361B">
        <w:rPr>
          <w:rFonts w:ascii="Arial" w:hAnsi="Arial" w:cs="Arial"/>
          <w:bCs/>
        </w:rPr>
        <w:t xml:space="preserve"> as</w:t>
      </w:r>
      <w:r w:rsidR="008F13AF" w:rsidRPr="00106E08">
        <w:rPr>
          <w:rFonts w:ascii="Arial" w:hAnsi="Arial" w:cs="Arial"/>
          <w:bCs/>
        </w:rPr>
        <w:t xml:space="preserve"> satellite </w:t>
      </w:r>
      <w:r w:rsidR="00BD361B">
        <w:rPr>
          <w:rFonts w:ascii="Arial" w:hAnsi="Arial" w:cs="Arial"/>
          <w:bCs/>
        </w:rPr>
        <w:t>may</w:t>
      </w:r>
      <w:r w:rsidR="008F13AF" w:rsidRPr="00106E08">
        <w:rPr>
          <w:rFonts w:ascii="Arial" w:hAnsi="Arial" w:cs="Arial"/>
          <w:bCs/>
        </w:rPr>
        <w:t xml:space="preserve"> operate at lower transmission power, experience lower SINR.</w:t>
      </w:r>
    </w:p>
    <w:p w14:paraId="5171EA38" w14:textId="77777777" w:rsidR="00FD4E27" w:rsidRDefault="00FD4E27" w:rsidP="00106E08">
      <w:pPr>
        <w:jc w:val="both"/>
        <w:rPr>
          <w:rFonts w:ascii="Arial" w:hAnsi="Arial" w:cs="Arial"/>
          <w:bCs/>
        </w:rPr>
      </w:pPr>
    </w:p>
    <w:p w14:paraId="1A334881" w14:textId="03BBC0F3" w:rsidR="00FD4E27" w:rsidRPr="00106E08" w:rsidRDefault="00FD4E27" w:rsidP="00106E08">
      <w:pPr>
        <w:jc w:val="both"/>
        <w:rPr>
          <w:rFonts w:ascii="Arial" w:hAnsi="Arial" w:cs="Arial"/>
        </w:rPr>
      </w:pPr>
      <w:r w:rsidRPr="003D545A">
        <w:rPr>
          <w:rFonts w:ascii="Arial" w:hAnsi="Arial" w:cs="Arial"/>
          <w:b/>
          <w:bCs/>
        </w:rPr>
        <w:t xml:space="preserve">Observation </w:t>
      </w:r>
      <w:r>
        <w:rPr>
          <w:rFonts w:ascii="Arial" w:hAnsi="Arial" w:cs="Arial"/>
          <w:b/>
          <w:bCs/>
        </w:rPr>
        <w:t xml:space="preserve">2: HARQ is </w:t>
      </w:r>
      <w:r w:rsidR="003A537B">
        <w:rPr>
          <w:rFonts w:ascii="Arial" w:hAnsi="Arial" w:cs="Arial"/>
          <w:b/>
          <w:bCs/>
        </w:rPr>
        <w:t>extremely</w:t>
      </w:r>
      <w:r>
        <w:rPr>
          <w:rFonts w:ascii="Arial" w:hAnsi="Arial" w:cs="Arial"/>
          <w:b/>
          <w:bCs/>
        </w:rPr>
        <w:t xml:space="preserve"> important for providing </w:t>
      </w:r>
      <w:r w:rsidR="00D0034A">
        <w:rPr>
          <w:rFonts w:ascii="Arial" w:hAnsi="Arial" w:cs="Arial"/>
          <w:b/>
          <w:bCs/>
        </w:rPr>
        <w:t>reli</w:t>
      </w:r>
      <w:r w:rsidR="00684DBB">
        <w:rPr>
          <w:rFonts w:ascii="Arial" w:hAnsi="Arial" w:cs="Arial"/>
          <w:b/>
          <w:bCs/>
        </w:rPr>
        <w:t>ability</w:t>
      </w:r>
      <w:r>
        <w:rPr>
          <w:rFonts w:ascii="Arial" w:hAnsi="Arial" w:cs="Arial"/>
          <w:b/>
          <w:bCs/>
        </w:rPr>
        <w:t xml:space="preserve"> to C-Plane signalling messages</w:t>
      </w:r>
      <w:r w:rsidR="001E1A51">
        <w:rPr>
          <w:rFonts w:ascii="Arial" w:hAnsi="Arial" w:cs="Arial"/>
          <w:b/>
          <w:bCs/>
        </w:rPr>
        <w:t xml:space="preserve"> and MAC CEs</w:t>
      </w:r>
      <w:r>
        <w:rPr>
          <w:rFonts w:ascii="Arial" w:hAnsi="Arial" w:cs="Arial"/>
          <w:b/>
          <w:bCs/>
        </w:rPr>
        <w:t xml:space="preserve">, especially for which </w:t>
      </w:r>
      <w:r w:rsidRPr="00FD4E27">
        <w:rPr>
          <w:rFonts w:ascii="Arial" w:hAnsi="Arial" w:cs="Arial"/>
          <w:b/>
          <w:bCs/>
        </w:rPr>
        <w:t xml:space="preserve">RLC retransmissions in AM, </w:t>
      </w:r>
      <w:r w:rsidR="00A93F86">
        <w:rPr>
          <w:rFonts w:ascii="Arial" w:hAnsi="Arial" w:cs="Arial"/>
          <w:b/>
          <w:bCs/>
        </w:rPr>
        <w:t>are</w:t>
      </w:r>
      <w:r w:rsidRPr="00FD4E27">
        <w:rPr>
          <w:rFonts w:ascii="Arial" w:hAnsi="Arial" w:cs="Arial"/>
          <w:b/>
          <w:bCs/>
        </w:rPr>
        <w:t xml:space="preserve"> not possible</w:t>
      </w:r>
      <w:r>
        <w:rPr>
          <w:rFonts w:ascii="Arial" w:hAnsi="Arial" w:cs="Arial"/>
          <w:b/>
          <w:bCs/>
        </w:rPr>
        <w:t>.</w:t>
      </w:r>
    </w:p>
    <w:p w14:paraId="1574F970" w14:textId="77777777" w:rsidR="00106E08" w:rsidRPr="00FE54C3" w:rsidRDefault="00106E08" w:rsidP="006A5982">
      <w:pPr>
        <w:jc w:val="both"/>
        <w:rPr>
          <w:rFonts w:ascii="Arial" w:hAnsi="Arial" w:cs="Arial"/>
          <w:bCs/>
          <w:sz w:val="2"/>
        </w:rPr>
      </w:pPr>
    </w:p>
    <w:p w14:paraId="2E9B2248" w14:textId="3BE40A15" w:rsidR="00C504CB" w:rsidRPr="00AC6BAD" w:rsidRDefault="00441BF8" w:rsidP="006A5982">
      <w:pPr>
        <w:jc w:val="both"/>
        <w:rPr>
          <w:rFonts w:ascii="Arial" w:hAnsi="Arial" w:cs="Arial"/>
          <w:bCs/>
        </w:rPr>
      </w:pPr>
      <w:r w:rsidRPr="00AC6BAD">
        <w:rPr>
          <w:rFonts w:ascii="Arial" w:hAnsi="Arial" w:cs="Arial"/>
          <w:bCs/>
        </w:rPr>
        <w:t xml:space="preserve">Note that unlike NR, </w:t>
      </w:r>
      <w:r w:rsidRPr="00AC6BAD">
        <w:rPr>
          <w:rFonts w:ascii="Arial" w:hAnsi="Arial" w:cs="Arial"/>
        </w:rPr>
        <w:t xml:space="preserve">only 1 or 2 HARQ processes are supported for NB-IoT NTN. Disabling HARQ will have an impact on complexity of NB-IoT devices. Hence, </w:t>
      </w:r>
      <w:r w:rsidRPr="00AC6BAD">
        <w:rPr>
          <w:rFonts w:ascii="Arial" w:hAnsi="Arial" w:cs="Arial"/>
          <w:bCs/>
        </w:rPr>
        <w:t xml:space="preserve">based </w:t>
      </w:r>
      <w:r w:rsidR="00C504CB" w:rsidRPr="00AC6BAD">
        <w:rPr>
          <w:rFonts w:ascii="Arial" w:hAnsi="Arial" w:cs="Arial"/>
          <w:bCs/>
        </w:rPr>
        <w:t xml:space="preserve">on these observations, we can safely conclude that as </w:t>
      </w:r>
      <w:r w:rsidR="00C504CB" w:rsidRPr="00AC6BAD">
        <w:rPr>
          <w:rFonts w:ascii="Arial" w:hAnsi="Arial" w:cs="Arial"/>
        </w:rPr>
        <w:t>NB-</w:t>
      </w:r>
      <w:r w:rsidR="00C504CB" w:rsidRPr="00AC6BAD">
        <w:rPr>
          <w:rFonts w:ascii="Arial" w:hAnsi="Arial" w:cs="Arial"/>
          <w:bCs/>
        </w:rPr>
        <w:t xml:space="preserve">IoT applications are not delay-sensitive (as high as 10 seconds UL delay requirement), </w:t>
      </w:r>
      <w:r w:rsidR="00C504CB" w:rsidRPr="00AC6BAD">
        <w:rPr>
          <w:rFonts w:ascii="Arial" w:hAnsi="Arial" w:cs="Arial"/>
        </w:rPr>
        <w:t>the maximum total RTD for GEO NTN of 541.46ms does not make any significant effect on the data rates of IoT devices. Hence, in order to guarantee the integrity of C-Plane signalling messages, there is no need to disable HARQ in NB-IoT NTN.</w:t>
      </w:r>
      <w:bookmarkStart w:id="2" w:name="_GoBack"/>
      <w:bookmarkEnd w:id="2"/>
    </w:p>
    <w:p w14:paraId="79F2D198" w14:textId="5840AE35" w:rsidR="00366178" w:rsidRDefault="001E1A51" w:rsidP="00E2227D">
      <w:pPr>
        <w:jc w:val="both"/>
        <w:rPr>
          <w:rFonts w:ascii="Arial" w:hAnsi="Arial" w:cs="Arial"/>
          <w:b/>
          <w:bCs/>
        </w:rPr>
      </w:pPr>
      <w:r>
        <w:rPr>
          <w:rFonts w:ascii="Arial" w:hAnsi="Arial" w:cs="Arial"/>
          <w:b/>
          <w:bCs/>
        </w:rPr>
        <w:t>Observation 3</w:t>
      </w:r>
      <w:r w:rsidR="002C7929">
        <w:rPr>
          <w:rFonts w:ascii="Arial" w:hAnsi="Arial" w:cs="Arial"/>
          <w:b/>
          <w:bCs/>
        </w:rPr>
        <w:t>:</w:t>
      </w:r>
      <w:r w:rsidR="00C504CB">
        <w:rPr>
          <w:rFonts w:ascii="Arial" w:hAnsi="Arial" w:cs="Arial"/>
          <w:b/>
          <w:bCs/>
        </w:rPr>
        <w:t xml:space="preserve"> Unlike NR-NTN, there is no need to disable HARQ in NB-IoT based NTN.</w:t>
      </w:r>
    </w:p>
    <w:p w14:paraId="4AF790D4" w14:textId="77777777" w:rsidR="001E1A51" w:rsidRPr="00DE4A08" w:rsidRDefault="001E1A51" w:rsidP="00E2227D">
      <w:pPr>
        <w:jc w:val="both"/>
        <w:rPr>
          <w:rFonts w:ascii="Arial" w:hAnsi="Arial" w:cs="Arial"/>
          <w:b/>
          <w:bCs/>
          <w:sz w:val="2"/>
        </w:rPr>
      </w:pPr>
    </w:p>
    <w:p w14:paraId="167BE844" w14:textId="4233E9FC" w:rsidR="001E1A51" w:rsidRPr="00DE4A08" w:rsidRDefault="001E1A51" w:rsidP="00E2227D">
      <w:pPr>
        <w:jc w:val="both"/>
        <w:rPr>
          <w:rFonts w:ascii="Arial" w:hAnsi="Arial" w:cs="Arial"/>
          <w:b/>
          <w:bCs/>
          <w:szCs w:val="21"/>
          <w:lang w:val="en-US"/>
        </w:rPr>
      </w:pPr>
      <w:r w:rsidRPr="00DE4A08">
        <w:rPr>
          <w:rFonts w:ascii="Arial" w:hAnsi="Arial" w:cs="Arial"/>
          <w:b/>
          <w:bCs/>
        </w:rPr>
        <w:t xml:space="preserve">Proposal: </w:t>
      </w:r>
      <w:r w:rsidRPr="00DE4A08">
        <w:rPr>
          <w:rFonts w:ascii="Arial" w:hAnsi="Arial" w:cs="Arial"/>
          <w:b/>
        </w:rPr>
        <w:t>Disabling HARQ in UL and DL is not supported in NB-IoT NTN.</w:t>
      </w:r>
    </w:p>
    <w:p w14:paraId="5C9628DA" w14:textId="77777777" w:rsidR="00E025D7" w:rsidRPr="00AA6B57" w:rsidRDefault="00E025D7" w:rsidP="000E3091">
      <w:pPr>
        <w:jc w:val="both"/>
        <w:rPr>
          <w:rFonts w:ascii="Arial" w:hAnsi="Arial" w:cs="Arial"/>
          <w:bCs/>
          <w:sz w:val="4"/>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3F27C81A" w:rsidR="00C20978" w:rsidRDefault="00C20978" w:rsidP="00C20978">
      <w:pPr>
        <w:jc w:val="both"/>
        <w:rPr>
          <w:rFonts w:ascii="Arial" w:hAnsi="Arial" w:cs="Arial"/>
          <w:lang w:val="en-US" w:eastAsia="ko-KR"/>
        </w:rPr>
      </w:pPr>
      <w:r w:rsidRPr="00A62DF6">
        <w:rPr>
          <w:rFonts w:ascii="Arial" w:hAnsi="Arial" w:cs="Arial"/>
          <w:lang w:val="en-US" w:eastAsia="ko-KR"/>
        </w:rPr>
        <w:t xml:space="preserve">In this contribution, </w:t>
      </w:r>
      <w:r w:rsidR="00FE54C3" w:rsidRPr="00FE54C3">
        <w:rPr>
          <w:rFonts w:ascii="Arial" w:hAnsi="Arial" w:cs="Arial"/>
          <w:lang w:val="en-US" w:eastAsia="ko-KR"/>
        </w:rPr>
        <w:t>we identify the parts of TR38.821 that relevant for HARQ configurations in NB-IoT based NTN</w:t>
      </w:r>
      <w:r>
        <w:rPr>
          <w:rFonts w:ascii="Arial" w:hAnsi="Arial" w:cs="Arial"/>
          <w:lang w:val="en-US" w:eastAsia="ko-KR"/>
        </w:rPr>
        <w:t>.</w:t>
      </w:r>
      <w:r w:rsidR="00F82D36">
        <w:rPr>
          <w:rFonts w:ascii="Arial" w:hAnsi="Arial" w:cs="Arial"/>
          <w:lang w:val="en-US" w:eastAsia="ko-KR"/>
        </w:rPr>
        <w:t xml:space="preserve"> </w:t>
      </w:r>
    </w:p>
    <w:p w14:paraId="7F22B761" w14:textId="3AEF7807" w:rsidR="00F82D36" w:rsidRDefault="00FE54C3" w:rsidP="002C7929">
      <w:pPr>
        <w:jc w:val="both"/>
        <w:rPr>
          <w:rFonts w:ascii="Arial" w:hAnsi="Arial" w:cs="Arial"/>
          <w:b/>
          <w:bCs/>
          <w:szCs w:val="21"/>
          <w:lang w:val="en-US"/>
        </w:rPr>
      </w:pPr>
      <w:r w:rsidRPr="003D545A">
        <w:rPr>
          <w:rFonts w:ascii="Arial" w:hAnsi="Arial" w:cs="Arial"/>
          <w:b/>
          <w:bCs/>
        </w:rPr>
        <w:t>Observation 1</w:t>
      </w:r>
      <w:r>
        <w:rPr>
          <w:rFonts w:ascii="Arial" w:hAnsi="Arial" w:cs="Arial"/>
          <w:bCs/>
        </w:rPr>
        <w:t xml:space="preserve">: </w:t>
      </w:r>
      <w:r w:rsidRPr="00175EEF">
        <w:rPr>
          <w:rFonts w:ascii="Arial" w:hAnsi="Arial" w:cs="Arial"/>
          <w:b/>
        </w:rPr>
        <w:t>NB-</w:t>
      </w:r>
      <w:r w:rsidRPr="00175EEF">
        <w:rPr>
          <w:rFonts w:ascii="Arial" w:hAnsi="Arial" w:cs="Arial"/>
          <w:b/>
          <w:bCs/>
        </w:rPr>
        <w:t>IoT applications are not delay-sensitive, having a high 10 seconds UL delay requirement</w:t>
      </w:r>
      <w:r>
        <w:rPr>
          <w:rFonts w:ascii="Arial" w:hAnsi="Arial" w:cs="Arial"/>
          <w:b/>
          <w:bCs/>
        </w:rPr>
        <w:t>.</w:t>
      </w:r>
      <w:r w:rsidR="00F82D36">
        <w:rPr>
          <w:rFonts w:ascii="Arial" w:hAnsi="Arial" w:cs="Arial"/>
          <w:bCs/>
        </w:rPr>
        <w:t xml:space="preserve"> </w:t>
      </w:r>
    </w:p>
    <w:p w14:paraId="4C9C66EC" w14:textId="02A29575" w:rsidR="00B765AD" w:rsidRDefault="00FE54C3" w:rsidP="00B765AD">
      <w:pPr>
        <w:spacing w:after="60"/>
        <w:rPr>
          <w:rFonts w:ascii="Arial" w:hAnsi="Arial" w:cs="Arial"/>
          <w:b/>
          <w:bCs/>
        </w:rPr>
      </w:pPr>
      <w:r w:rsidRPr="003D545A">
        <w:rPr>
          <w:rFonts w:ascii="Arial" w:hAnsi="Arial" w:cs="Arial"/>
          <w:b/>
          <w:bCs/>
        </w:rPr>
        <w:t xml:space="preserve">Observation </w:t>
      </w:r>
      <w:r>
        <w:rPr>
          <w:rFonts w:ascii="Arial" w:hAnsi="Arial" w:cs="Arial"/>
          <w:b/>
          <w:bCs/>
        </w:rPr>
        <w:t xml:space="preserve">2: HARQ is extremely important for providing integrity to C-Plane signalling messages, especially for which </w:t>
      </w:r>
      <w:r w:rsidRPr="00FD4E27">
        <w:rPr>
          <w:rFonts w:ascii="Arial" w:hAnsi="Arial" w:cs="Arial"/>
          <w:b/>
          <w:bCs/>
        </w:rPr>
        <w:t xml:space="preserve">RLC retransmissions in AM, </w:t>
      </w:r>
      <w:r>
        <w:rPr>
          <w:rFonts w:ascii="Arial" w:hAnsi="Arial" w:cs="Arial"/>
          <w:b/>
          <w:bCs/>
        </w:rPr>
        <w:t>is</w:t>
      </w:r>
      <w:r w:rsidRPr="00FD4E27">
        <w:rPr>
          <w:rFonts w:ascii="Arial" w:hAnsi="Arial" w:cs="Arial"/>
          <w:b/>
          <w:bCs/>
        </w:rPr>
        <w:t xml:space="preserve"> not be possible</w:t>
      </w:r>
      <w:r>
        <w:rPr>
          <w:rFonts w:ascii="Arial" w:hAnsi="Arial" w:cs="Arial"/>
          <w:b/>
          <w:bCs/>
        </w:rPr>
        <w:t>.</w:t>
      </w:r>
    </w:p>
    <w:p w14:paraId="1100FCF3" w14:textId="77777777" w:rsidR="00FE54C3" w:rsidRPr="00FE54C3" w:rsidRDefault="00FE54C3" w:rsidP="00B765AD">
      <w:pPr>
        <w:spacing w:after="60"/>
        <w:rPr>
          <w:rFonts w:ascii="Arial" w:hAnsi="Arial" w:cs="Arial"/>
          <w:b/>
          <w:bCs/>
          <w:sz w:val="6"/>
        </w:rPr>
      </w:pPr>
    </w:p>
    <w:p w14:paraId="324C6AC5" w14:textId="4467FE8C" w:rsidR="00FE54C3" w:rsidRDefault="001E1A51" w:rsidP="00B765AD">
      <w:pPr>
        <w:spacing w:after="60"/>
        <w:rPr>
          <w:rFonts w:ascii="Arial" w:hAnsi="Arial" w:cs="Arial"/>
          <w:b/>
          <w:bCs/>
        </w:rPr>
      </w:pPr>
      <w:r>
        <w:rPr>
          <w:rFonts w:ascii="Arial" w:hAnsi="Arial" w:cs="Arial"/>
          <w:b/>
          <w:bCs/>
        </w:rPr>
        <w:t>Observation 3</w:t>
      </w:r>
      <w:r w:rsidR="00FE54C3">
        <w:rPr>
          <w:rFonts w:ascii="Arial" w:hAnsi="Arial" w:cs="Arial"/>
          <w:b/>
          <w:bCs/>
        </w:rPr>
        <w:t>: Unlike NR-NTN, there is no need to disable HARQ in NB-IoT based NTN.</w:t>
      </w:r>
    </w:p>
    <w:p w14:paraId="01723372" w14:textId="77777777" w:rsidR="001E1A51" w:rsidRPr="001E1A51" w:rsidRDefault="001E1A51" w:rsidP="001E1A51">
      <w:pPr>
        <w:jc w:val="both"/>
        <w:rPr>
          <w:rFonts w:ascii="Arial" w:hAnsi="Arial" w:cs="Arial"/>
          <w:b/>
          <w:bCs/>
          <w:szCs w:val="21"/>
          <w:lang w:val="en-US"/>
        </w:rPr>
      </w:pPr>
      <w:r w:rsidRPr="001E1A51">
        <w:rPr>
          <w:rFonts w:ascii="Arial" w:hAnsi="Arial" w:cs="Arial"/>
          <w:b/>
          <w:bCs/>
        </w:rPr>
        <w:t xml:space="preserve">Proposal: </w:t>
      </w:r>
      <w:r w:rsidRPr="00DE4A08">
        <w:rPr>
          <w:rFonts w:ascii="Arial" w:hAnsi="Arial" w:cs="Arial"/>
          <w:b/>
        </w:rPr>
        <w:t>Disabling HARQ in UL and DL is not supported in NB-IoT NTN.</w:t>
      </w:r>
    </w:p>
    <w:p w14:paraId="55BAFC69" w14:textId="77777777" w:rsidR="001E1A51" w:rsidRDefault="001E1A51" w:rsidP="00B765AD">
      <w:pPr>
        <w:spacing w:after="60"/>
        <w:rPr>
          <w:rFonts w:ascii="Arial" w:hAnsi="Arial" w:cs="Arial"/>
          <w:b/>
          <w:bCs/>
        </w:rPr>
      </w:pPr>
    </w:p>
    <w:p w14:paraId="1D4CF616" w14:textId="77777777" w:rsidR="001E1A51" w:rsidRDefault="001E1A51"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894BFE9" w14:textId="77777777" w:rsidR="003063D3" w:rsidRPr="00D30920" w:rsidRDefault="003063D3" w:rsidP="003063D3">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3GPP TR 38.821</w:t>
      </w:r>
      <w:r>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1D930851" w14:textId="77777777" w:rsidR="003063D3" w:rsidRDefault="003063D3" w:rsidP="003063D3">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Pr>
          <w:rFonts w:ascii="Arial" w:hAnsi="Arial" w:cs="Arial"/>
          <w:sz w:val="20"/>
          <w:szCs w:val="20"/>
          <w:lang w:eastAsia="ko-KR"/>
        </w:rPr>
        <w:t xml:space="preserve"> (WID)”</w:t>
      </w:r>
    </w:p>
    <w:p w14:paraId="2CB2C785" w14:textId="77777777" w:rsidR="003063D3" w:rsidRDefault="003063D3" w:rsidP="003063D3">
      <w:pPr>
        <w:pStyle w:val="ListParagraph"/>
        <w:numPr>
          <w:ilvl w:val="0"/>
          <w:numId w:val="2"/>
        </w:numPr>
        <w:rPr>
          <w:rFonts w:ascii="Arial" w:hAnsi="Arial" w:cs="Arial"/>
          <w:sz w:val="20"/>
          <w:szCs w:val="20"/>
          <w:lang w:eastAsia="ko-KR"/>
        </w:rPr>
      </w:pPr>
      <w:r w:rsidRPr="00387CF2">
        <w:rPr>
          <w:rFonts w:ascii="Arial" w:hAnsi="Arial" w:cs="Arial"/>
          <w:sz w:val="20"/>
          <w:szCs w:val="20"/>
          <w:lang w:eastAsia="ko-KR"/>
        </w:rPr>
        <w:t>3GPP TSG-RAN WG2 Meeting #111</w:t>
      </w:r>
      <w:r>
        <w:rPr>
          <w:rFonts w:ascii="Arial" w:hAnsi="Arial" w:cs="Arial"/>
          <w:sz w:val="20"/>
          <w:szCs w:val="20"/>
          <w:lang w:eastAsia="ko-KR"/>
        </w:rPr>
        <w:t>e,</w:t>
      </w:r>
      <w:r w:rsidRPr="00387CF2">
        <w:rPr>
          <w:rFonts w:ascii="Arial" w:hAnsi="Arial" w:cs="Arial"/>
          <w:sz w:val="20"/>
          <w:szCs w:val="20"/>
          <w:lang w:eastAsia="ko-KR"/>
        </w:rPr>
        <w:t xml:space="preserve"> </w:t>
      </w:r>
      <w:r>
        <w:rPr>
          <w:rFonts w:ascii="Arial" w:hAnsi="Arial" w:cs="Arial"/>
          <w:sz w:val="20"/>
          <w:szCs w:val="20"/>
          <w:lang w:eastAsia="ko-KR"/>
        </w:rPr>
        <w:t>“</w:t>
      </w:r>
      <w:r w:rsidRPr="00387CF2">
        <w:rPr>
          <w:rFonts w:ascii="Arial" w:hAnsi="Arial" w:cs="Arial"/>
          <w:sz w:val="20"/>
          <w:szCs w:val="20"/>
          <w:lang w:eastAsia="ko-KR"/>
        </w:rPr>
        <w:t>Report from Break-out session on R16 eMIMO, CLI, PRN, RACS and R17 NTN and REDCAP</w:t>
      </w:r>
      <w:r>
        <w:rPr>
          <w:rFonts w:ascii="Arial" w:hAnsi="Arial" w:cs="Arial"/>
          <w:sz w:val="20"/>
          <w:szCs w:val="20"/>
          <w:lang w:eastAsia="ko-KR"/>
        </w:rPr>
        <w:t xml:space="preserve">”, </w:t>
      </w:r>
      <w:r w:rsidRPr="00387CF2">
        <w:rPr>
          <w:rFonts w:ascii="Arial" w:hAnsi="Arial" w:cs="Arial"/>
          <w:sz w:val="20"/>
          <w:szCs w:val="20"/>
          <w:lang w:eastAsia="ko-KR"/>
        </w:rPr>
        <w:t>Vice Chairman (ZTE Corporation)</w:t>
      </w:r>
      <w:r>
        <w:rPr>
          <w:rFonts w:ascii="Arial" w:hAnsi="Arial" w:cs="Arial"/>
          <w:sz w:val="20"/>
          <w:szCs w:val="20"/>
          <w:lang w:eastAsia="ko-KR"/>
        </w:rPr>
        <w:t>.</w:t>
      </w:r>
    </w:p>
    <w:p w14:paraId="619D06B7" w14:textId="77777777" w:rsidR="003063D3" w:rsidRDefault="003063D3" w:rsidP="003063D3">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[Post111-e][908][NTN] RACH and HARQ feedback aspects</w:t>
      </w:r>
      <w:r>
        <w:rPr>
          <w:rFonts w:ascii="Arial" w:hAnsi="Arial" w:cs="Arial"/>
          <w:sz w:val="20"/>
          <w:szCs w:val="20"/>
          <w:lang w:eastAsia="ko-KR"/>
        </w:rPr>
        <w:t xml:space="preserve"> (Interdigital)</w:t>
      </w:r>
    </w:p>
    <w:bookmarkEnd w:id="4"/>
    <w:bookmarkEnd w:id="5"/>
    <w:p w14:paraId="4DF15999" w14:textId="77777777" w:rsidR="00D93B34" w:rsidRPr="00D93B34" w:rsidRDefault="00D93B34" w:rsidP="00D93B34"/>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E143B" w14:textId="77777777" w:rsidR="001C139D" w:rsidRDefault="001C139D">
      <w:r>
        <w:separator/>
      </w:r>
    </w:p>
  </w:endnote>
  <w:endnote w:type="continuationSeparator" w:id="0">
    <w:p w14:paraId="32FB726A" w14:textId="77777777" w:rsidR="001C139D" w:rsidRDefault="001C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62103" w14:textId="77777777" w:rsidR="001C139D" w:rsidRDefault="001C139D">
      <w:r>
        <w:separator/>
      </w:r>
    </w:p>
  </w:footnote>
  <w:footnote w:type="continuationSeparator" w:id="0">
    <w:p w14:paraId="528C19E8" w14:textId="77777777" w:rsidR="001C139D" w:rsidRDefault="001C1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DE80ECA"/>
    <w:multiLevelType w:val="hybridMultilevel"/>
    <w:tmpl w:val="FC1C5D2C"/>
    <w:lvl w:ilvl="0" w:tplc="D73C9094">
      <w:start w:val="1"/>
      <w:numFmt w:val="bullet"/>
      <w:lvlText w:val="–"/>
      <w:lvlJc w:val="left"/>
      <w:pPr>
        <w:tabs>
          <w:tab w:val="num" w:pos="720"/>
        </w:tabs>
        <w:ind w:left="720" w:hanging="360"/>
      </w:pPr>
      <w:rPr>
        <w:rFonts w:ascii="Calibri Light" w:hAnsi="Calibri Light" w:hint="default"/>
      </w:rPr>
    </w:lvl>
    <w:lvl w:ilvl="1" w:tplc="26003BFA">
      <w:start w:val="1"/>
      <w:numFmt w:val="bullet"/>
      <w:lvlText w:val="–"/>
      <w:lvlJc w:val="left"/>
      <w:pPr>
        <w:tabs>
          <w:tab w:val="num" w:pos="1440"/>
        </w:tabs>
        <w:ind w:left="1440" w:hanging="360"/>
      </w:pPr>
      <w:rPr>
        <w:rFonts w:ascii="Calibri Light" w:hAnsi="Calibri Light" w:hint="default"/>
      </w:rPr>
    </w:lvl>
    <w:lvl w:ilvl="2" w:tplc="3232FE58" w:tentative="1">
      <w:start w:val="1"/>
      <w:numFmt w:val="bullet"/>
      <w:lvlText w:val="–"/>
      <w:lvlJc w:val="left"/>
      <w:pPr>
        <w:tabs>
          <w:tab w:val="num" w:pos="2160"/>
        </w:tabs>
        <w:ind w:left="2160" w:hanging="360"/>
      </w:pPr>
      <w:rPr>
        <w:rFonts w:ascii="Calibri Light" w:hAnsi="Calibri Light" w:hint="default"/>
      </w:rPr>
    </w:lvl>
    <w:lvl w:ilvl="3" w:tplc="385802C6" w:tentative="1">
      <w:start w:val="1"/>
      <w:numFmt w:val="bullet"/>
      <w:lvlText w:val="–"/>
      <w:lvlJc w:val="left"/>
      <w:pPr>
        <w:tabs>
          <w:tab w:val="num" w:pos="2880"/>
        </w:tabs>
        <w:ind w:left="2880" w:hanging="360"/>
      </w:pPr>
      <w:rPr>
        <w:rFonts w:ascii="Calibri Light" w:hAnsi="Calibri Light" w:hint="default"/>
      </w:rPr>
    </w:lvl>
    <w:lvl w:ilvl="4" w:tplc="B4B41274" w:tentative="1">
      <w:start w:val="1"/>
      <w:numFmt w:val="bullet"/>
      <w:lvlText w:val="–"/>
      <w:lvlJc w:val="left"/>
      <w:pPr>
        <w:tabs>
          <w:tab w:val="num" w:pos="3600"/>
        </w:tabs>
        <w:ind w:left="3600" w:hanging="360"/>
      </w:pPr>
      <w:rPr>
        <w:rFonts w:ascii="Calibri Light" w:hAnsi="Calibri Light" w:hint="default"/>
      </w:rPr>
    </w:lvl>
    <w:lvl w:ilvl="5" w:tplc="571088F6" w:tentative="1">
      <w:start w:val="1"/>
      <w:numFmt w:val="bullet"/>
      <w:lvlText w:val="–"/>
      <w:lvlJc w:val="left"/>
      <w:pPr>
        <w:tabs>
          <w:tab w:val="num" w:pos="4320"/>
        </w:tabs>
        <w:ind w:left="4320" w:hanging="360"/>
      </w:pPr>
      <w:rPr>
        <w:rFonts w:ascii="Calibri Light" w:hAnsi="Calibri Light" w:hint="default"/>
      </w:rPr>
    </w:lvl>
    <w:lvl w:ilvl="6" w:tplc="A6A46D20" w:tentative="1">
      <w:start w:val="1"/>
      <w:numFmt w:val="bullet"/>
      <w:lvlText w:val="–"/>
      <w:lvlJc w:val="left"/>
      <w:pPr>
        <w:tabs>
          <w:tab w:val="num" w:pos="5040"/>
        </w:tabs>
        <w:ind w:left="5040" w:hanging="360"/>
      </w:pPr>
      <w:rPr>
        <w:rFonts w:ascii="Calibri Light" w:hAnsi="Calibri Light" w:hint="default"/>
      </w:rPr>
    </w:lvl>
    <w:lvl w:ilvl="7" w:tplc="DB3408F0" w:tentative="1">
      <w:start w:val="1"/>
      <w:numFmt w:val="bullet"/>
      <w:lvlText w:val="–"/>
      <w:lvlJc w:val="left"/>
      <w:pPr>
        <w:tabs>
          <w:tab w:val="num" w:pos="5760"/>
        </w:tabs>
        <w:ind w:left="5760" w:hanging="360"/>
      </w:pPr>
      <w:rPr>
        <w:rFonts w:ascii="Calibri Light" w:hAnsi="Calibri Light" w:hint="default"/>
      </w:rPr>
    </w:lvl>
    <w:lvl w:ilvl="8" w:tplc="62363DF0" w:tentative="1">
      <w:start w:val="1"/>
      <w:numFmt w:val="bullet"/>
      <w:lvlText w:val="–"/>
      <w:lvlJc w:val="left"/>
      <w:pPr>
        <w:tabs>
          <w:tab w:val="num" w:pos="6480"/>
        </w:tabs>
        <w:ind w:left="6480" w:hanging="360"/>
      </w:pPr>
      <w:rPr>
        <w:rFonts w:ascii="Calibri Light" w:hAnsi="Calibri Light" w:hint="default"/>
      </w:r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 w:numId="2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520"/>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15B2"/>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14B5"/>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6E08"/>
    <w:rsid w:val="001070AA"/>
    <w:rsid w:val="0011033E"/>
    <w:rsid w:val="001110C6"/>
    <w:rsid w:val="00111BF5"/>
    <w:rsid w:val="00112115"/>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1502"/>
    <w:rsid w:val="00162052"/>
    <w:rsid w:val="00162F8D"/>
    <w:rsid w:val="00163241"/>
    <w:rsid w:val="001663DD"/>
    <w:rsid w:val="00167588"/>
    <w:rsid w:val="00167FC4"/>
    <w:rsid w:val="00172F10"/>
    <w:rsid w:val="00173394"/>
    <w:rsid w:val="00173D6B"/>
    <w:rsid w:val="00175EEF"/>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139D"/>
    <w:rsid w:val="001C227D"/>
    <w:rsid w:val="001C4139"/>
    <w:rsid w:val="001C4279"/>
    <w:rsid w:val="001C56C4"/>
    <w:rsid w:val="001D0407"/>
    <w:rsid w:val="001D0A00"/>
    <w:rsid w:val="001D14B9"/>
    <w:rsid w:val="001D18C0"/>
    <w:rsid w:val="001D1C03"/>
    <w:rsid w:val="001D7A4B"/>
    <w:rsid w:val="001E13F4"/>
    <w:rsid w:val="001E17A3"/>
    <w:rsid w:val="001E1A51"/>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4ADE"/>
    <w:rsid w:val="00246EED"/>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18FB"/>
    <w:rsid w:val="002C20BD"/>
    <w:rsid w:val="002C38AE"/>
    <w:rsid w:val="002C42B7"/>
    <w:rsid w:val="002C5EBE"/>
    <w:rsid w:val="002C600F"/>
    <w:rsid w:val="002C77B7"/>
    <w:rsid w:val="002C7929"/>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DE6"/>
    <w:rsid w:val="002F2F00"/>
    <w:rsid w:val="00300FB4"/>
    <w:rsid w:val="00303AA0"/>
    <w:rsid w:val="00304023"/>
    <w:rsid w:val="003063D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0578"/>
    <w:rsid w:val="00351105"/>
    <w:rsid w:val="003516ED"/>
    <w:rsid w:val="003545DC"/>
    <w:rsid w:val="00355BEA"/>
    <w:rsid w:val="003568B6"/>
    <w:rsid w:val="00360916"/>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63B"/>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537B"/>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CA3"/>
    <w:rsid w:val="003C2215"/>
    <w:rsid w:val="003C2856"/>
    <w:rsid w:val="003C5561"/>
    <w:rsid w:val="003C59AD"/>
    <w:rsid w:val="003C68A7"/>
    <w:rsid w:val="003D07D5"/>
    <w:rsid w:val="003D33CB"/>
    <w:rsid w:val="003D3512"/>
    <w:rsid w:val="003D40B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406BC"/>
    <w:rsid w:val="00441BF8"/>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6E26"/>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5CC7"/>
    <w:rsid w:val="004D6F9B"/>
    <w:rsid w:val="004D750F"/>
    <w:rsid w:val="004E057F"/>
    <w:rsid w:val="004E1201"/>
    <w:rsid w:val="004E18EC"/>
    <w:rsid w:val="004E4A58"/>
    <w:rsid w:val="004E4C1F"/>
    <w:rsid w:val="004F0227"/>
    <w:rsid w:val="004F153C"/>
    <w:rsid w:val="004F25D1"/>
    <w:rsid w:val="004F295C"/>
    <w:rsid w:val="004F2C7E"/>
    <w:rsid w:val="004F2D81"/>
    <w:rsid w:val="004F2E44"/>
    <w:rsid w:val="004F2F97"/>
    <w:rsid w:val="004F378A"/>
    <w:rsid w:val="004F4209"/>
    <w:rsid w:val="004F51B3"/>
    <w:rsid w:val="004F6BAC"/>
    <w:rsid w:val="004F74CA"/>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681A"/>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852"/>
    <w:rsid w:val="00632D98"/>
    <w:rsid w:val="006341A8"/>
    <w:rsid w:val="00635288"/>
    <w:rsid w:val="00635CA2"/>
    <w:rsid w:val="006363F7"/>
    <w:rsid w:val="00636659"/>
    <w:rsid w:val="00636D32"/>
    <w:rsid w:val="00636D53"/>
    <w:rsid w:val="0064084F"/>
    <w:rsid w:val="006426EB"/>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33EA"/>
    <w:rsid w:val="0068436F"/>
    <w:rsid w:val="00684866"/>
    <w:rsid w:val="00684DBB"/>
    <w:rsid w:val="00684F33"/>
    <w:rsid w:val="00685845"/>
    <w:rsid w:val="00690277"/>
    <w:rsid w:val="0069085C"/>
    <w:rsid w:val="00692DD0"/>
    <w:rsid w:val="0069388E"/>
    <w:rsid w:val="006939BD"/>
    <w:rsid w:val="00693C62"/>
    <w:rsid w:val="006940BF"/>
    <w:rsid w:val="006940E2"/>
    <w:rsid w:val="0069451C"/>
    <w:rsid w:val="006956DF"/>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615"/>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B5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3AF"/>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47F"/>
    <w:rsid w:val="009429F7"/>
    <w:rsid w:val="00943A3B"/>
    <w:rsid w:val="00945015"/>
    <w:rsid w:val="00946650"/>
    <w:rsid w:val="00946A91"/>
    <w:rsid w:val="00946F6D"/>
    <w:rsid w:val="00946FF3"/>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87782"/>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63E4"/>
    <w:rsid w:val="00A37A83"/>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446C"/>
    <w:rsid w:val="00A75132"/>
    <w:rsid w:val="00A77684"/>
    <w:rsid w:val="00A8005D"/>
    <w:rsid w:val="00A80CE0"/>
    <w:rsid w:val="00A82666"/>
    <w:rsid w:val="00A84A2A"/>
    <w:rsid w:val="00A877CF"/>
    <w:rsid w:val="00A90726"/>
    <w:rsid w:val="00A9073E"/>
    <w:rsid w:val="00A9163B"/>
    <w:rsid w:val="00A936CB"/>
    <w:rsid w:val="00A93A24"/>
    <w:rsid w:val="00A93F86"/>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BAD"/>
    <w:rsid w:val="00AC6C46"/>
    <w:rsid w:val="00AC7EFD"/>
    <w:rsid w:val="00AD00EC"/>
    <w:rsid w:val="00AD0208"/>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43E"/>
    <w:rsid w:val="00B23BE2"/>
    <w:rsid w:val="00B23EDD"/>
    <w:rsid w:val="00B23EEB"/>
    <w:rsid w:val="00B244E4"/>
    <w:rsid w:val="00B24E6A"/>
    <w:rsid w:val="00B25143"/>
    <w:rsid w:val="00B25762"/>
    <w:rsid w:val="00B258BB"/>
    <w:rsid w:val="00B25BF3"/>
    <w:rsid w:val="00B26521"/>
    <w:rsid w:val="00B277F3"/>
    <w:rsid w:val="00B27C4D"/>
    <w:rsid w:val="00B30777"/>
    <w:rsid w:val="00B30787"/>
    <w:rsid w:val="00B30E1E"/>
    <w:rsid w:val="00B32438"/>
    <w:rsid w:val="00B32FFD"/>
    <w:rsid w:val="00B33EFD"/>
    <w:rsid w:val="00B342DA"/>
    <w:rsid w:val="00B35510"/>
    <w:rsid w:val="00B36C7C"/>
    <w:rsid w:val="00B37612"/>
    <w:rsid w:val="00B37628"/>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361B"/>
    <w:rsid w:val="00BD460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129"/>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378C"/>
    <w:rsid w:val="00C44318"/>
    <w:rsid w:val="00C449A4"/>
    <w:rsid w:val="00C45E32"/>
    <w:rsid w:val="00C46070"/>
    <w:rsid w:val="00C465A1"/>
    <w:rsid w:val="00C47180"/>
    <w:rsid w:val="00C476E7"/>
    <w:rsid w:val="00C504CB"/>
    <w:rsid w:val="00C510C3"/>
    <w:rsid w:val="00C51DD1"/>
    <w:rsid w:val="00C51F11"/>
    <w:rsid w:val="00C52358"/>
    <w:rsid w:val="00C52F22"/>
    <w:rsid w:val="00C53B3F"/>
    <w:rsid w:val="00C5492B"/>
    <w:rsid w:val="00C56527"/>
    <w:rsid w:val="00C57D14"/>
    <w:rsid w:val="00C6003E"/>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034A"/>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14E3"/>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A08"/>
    <w:rsid w:val="00DE4D46"/>
    <w:rsid w:val="00DE4E8B"/>
    <w:rsid w:val="00DE5327"/>
    <w:rsid w:val="00DE5419"/>
    <w:rsid w:val="00DE5698"/>
    <w:rsid w:val="00DE5EA8"/>
    <w:rsid w:val="00DE69B8"/>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BF8"/>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25C8"/>
    <w:rsid w:val="00ED31FF"/>
    <w:rsid w:val="00ED4B61"/>
    <w:rsid w:val="00ED5420"/>
    <w:rsid w:val="00ED6E97"/>
    <w:rsid w:val="00EE059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2F56"/>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A213D"/>
    <w:rsid w:val="00FA46D7"/>
    <w:rsid w:val="00FA6372"/>
    <w:rsid w:val="00FA65E0"/>
    <w:rsid w:val="00FA6935"/>
    <w:rsid w:val="00FA6DD2"/>
    <w:rsid w:val="00FA790A"/>
    <w:rsid w:val="00FA7B6C"/>
    <w:rsid w:val="00FB0130"/>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4E27"/>
    <w:rsid w:val="00FD5002"/>
    <w:rsid w:val="00FD51B9"/>
    <w:rsid w:val="00FD527B"/>
    <w:rsid w:val="00FD5316"/>
    <w:rsid w:val="00FD567F"/>
    <w:rsid w:val="00FD5D24"/>
    <w:rsid w:val="00FE1078"/>
    <w:rsid w:val="00FE2FF9"/>
    <w:rsid w:val="00FE39CC"/>
    <w:rsid w:val="00FE458F"/>
    <w:rsid w:val="00FE47AB"/>
    <w:rsid w:val="00FE52CB"/>
    <w:rsid w:val="00FE54C3"/>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17779526">
      <w:bodyDiv w:val="1"/>
      <w:marLeft w:val="0"/>
      <w:marRight w:val="0"/>
      <w:marTop w:val="0"/>
      <w:marBottom w:val="0"/>
      <w:divBdr>
        <w:top w:val="none" w:sz="0" w:space="0" w:color="auto"/>
        <w:left w:val="none" w:sz="0" w:space="0" w:color="auto"/>
        <w:bottom w:val="none" w:sz="0" w:space="0" w:color="auto"/>
        <w:right w:val="none" w:sz="0" w:space="0" w:color="auto"/>
      </w:divBdr>
      <w:divsChild>
        <w:div w:id="1881747124">
          <w:marLeft w:val="1267"/>
          <w:marRight w:val="0"/>
          <w:marTop w:val="180"/>
          <w:marBottom w:val="0"/>
          <w:divBdr>
            <w:top w:val="none" w:sz="0" w:space="0" w:color="auto"/>
            <w:left w:val="none" w:sz="0" w:space="0" w:color="auto"/>
            <w:bottom w:val="none" w:sz="0" w:space="0" w:color="auto"/>
            <w:right w:val="none" w:sz="0" w:space="0" w:color="auto"/>
          </w:divBdr>
        </w:div>
        <w:div w:id="347483402">
          <w:marLeft w:val="1267"/>
          <w:marRight w:val="0"/>
          <w:marTop w:val="180"/>
          <w:marBottom w:val="0"/>
          <w:divBdr>
            <w:top w:val="none" w:sz="0" w:space="0" w:color="auto"/>
            <w:left w:val="none" w:sz="0" w:space="0" w:color="auto"/>
            <w:bottom w:val="none" w:sz="0" w:space="0" w:color="auto"/>
            <w:right w:val="none" w:sz="0" w:space="0" w:color="auto"/>
          </w:divBdr>
        </w:div>
        <w:div w:id="860360026">
          <w:marLeft w:val="1267"/>
          <w:marRight w:val="0"/>
          <w:marTop w:val="180"/>
          <w:marBottom w:val="0"/>
          <w:divBdr>
            <w:top w:val="none" w:sz="0" w:space="0" w:color="auto"/>
            <w:left w:val="none" w:sz="0" w:space="0" w:color="auto"/>
            <w:bottom w:val="none" w:sz="0" w:space="0" w:color="auto"/>
            <w:right w:val="none" w:sz="0" w:space="0" w:color="auto"/>
          </w:divBdr>
        </w:div>
        <w:div w:id="385186380">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76D3-ADB8-4EC9-BDC7-C954726C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5590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2020-10-22T15:44:00Z</dcterms:created>
  <dcterms:modified xsi:type="dcterms:W3CDTF">2020-10-22T15:47:00Z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